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8CC" w14:textId="2F3347FB" w:rsidR="00DC79D3" w:rsidRPr="00DC79D3" w:rsidRDefault="00DC79D3" w:rsidP="00DC79D3">
      <w:pPr>
        <w:jc w:val="both"/>
        <w:rPr>
          <w:rFonts w:asciiTheme="majorBidi" w:hAnsiTheme="majorBidi" w:cstheme="majorBidi"/>
          <w:w w:val="95"/>
          <w:sz w:val="24"/>
          <w:szCs w:val="24"/>
        </w:rPr>
      </w:pPr>
      <w:r w:rsidRPr="00DC79D3">
        <w:rPr>
          <w:rFonts w:asciiTheme="majorBidi" w:hAnsiTheme="majorBidi" w:cstheme="majorBidi"/>
          <w:w w:val="95"/>
          <w:sz w:val="24"/>
          <w:szCs w:val="24"/>
        </w:rPr>
        <w:t>Na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temelju</w:t>
      </w:r>
      <w:r w:rsidRPr="00DC79D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članka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67.stavak 1.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Zakona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o</w:t>
      </w:r>
      <w:r w:rsidRPr="00DC79D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komunalnom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gospodarstvu</w:t>
      </w:r>
      <w:r w:rsidRPr="00DC79D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(Narodne</w:t>
      </w:r>
      <w:r w:rsidRPr="00DC79D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novine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broj:</w:t>
      </w:r>
      <w:r w:rsidRPr="00DC79D3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68/18</w:t>
      </w:r>
      <w:r w:rsidRPr="00DC79D3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,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110/18 i 32/20) i</w:t>
      </w:r>
      <w:r w:rsidRPr="00DC79D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članka 30. Statuta Općine Čaglin (Službeni glasnik Općine Čaglin broj 2/23) Općinsko vijeće Općine Čaglin na </w:t>
      </w:r>
      <w:r w:rsidR="00202C5A">
        <w:rPr>
          <w:rFonts w:asciiTheme="majorBidi" w:hAnsiTheme="majorBidi" w:cstheme="majorBidi"/>
          <w:w w:val="95"/>
          <w:sz w:val="24"/>
          <w:szCs w:val="24"/>
        </w:rPr>
        <w:t>17.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 sjednici održanoj </w:t>
      </w:r>
      <w:r w:rsidR="00202C5A">
        <w:rPr>
          <w:rFonts w:asciiTheme="majorBidi" w:hAnsiTheme="majorBidi" w:cstheme="majorBidi"/>
          <w:w w:val="95"/>
          <w:sz w:val="24"/>
          <w:szCs w:val="24"/>
        </w:rPr>
        <w:t>15.prosinca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 2023.godine donijelo je</w:t>
      </w:r>
    </w:p>
    <w:p w14:paraId="36882F0A" w14:textId="77777777" w:rsidR="00DC79D3" w:rsidRPr="00DC79D3" w:rsidRDefault="00DC79D3" w:rsidP="00DC79D3">
      <w:pPr>
        <w:jc w:val="both"/>
        <w:rPr>
          <w:rFonts w:asciiTheme="majorBidi" w:hAnsiTheme="majorBidi" w:cstheme="majorBidi"/>
          <w:w w:val="95"/>
          <w:sz w:val="24"/>
          <w:szCs w:val="24"/>
        </w:rPr>
      </w:pPr>
    </w:p>
    <w:p w14:paraId="21815FE3" w14:textId="77777777" w:rsidR="00DC79D3" w:rsidRPr="00DC79D3" w:rsidRDefault="00DC79D3" w:rsidP="00DC79D3">
      <w:pPr>
        <w:pStyle w:val="Naslov1"/>
        <w:ind w:left="507"/>
        <w:rPr>
          <w:rFonts w:asciiTheme="majorBidi" w:hAnsiTheme="majorBidi" w:cstheme="majorBidi"/>
          <w:b w:val="0"/>
          <w:bCs w:val="0"/>
        </w:rPr>
      </w:pPr>
      <w:r w:rsidRPr="00DC79D3">
        <w:rPr>
          <w:rFonts w:asciiTheme="majorBidi" w:hAnsiTheme="majorBidi" w:cstheme="majorBidi"/>
          <w:b w:val="0"/>
          <w:bCs w:val="0"/>
          <w:w w:val="95"/>
        </w:rPr>
        <w:t>PROGRAM</w:t>
      </w:r>
    </w:p>
    <w:p w14:paraId="7B48455A" w14:textId="77777777" w:rsidR="00DC79D3" w:rsidRDefault="00DC79D3" w:rsidP="00DC79D3">
      <w:pPr>
        <w:spacing w:after="0"/>
        <w:ind w:left="508" w:right="822"/>
        <w:jc w:val="center"/>
        <w:rPr>
          <w:rFonts w:asciiTheme="majorBidi" w:hAnsiTheme="majorBidi" w:cstheme="majorBidi"/>
          <w:w w:val="95"/>
          <w:sz w:val="24"/>
          <w:szCs w:val="24"/>
        </w:rPr>
      </w:pPr>
      <w:r w:rsidRPr="00DC79D3">
        <w:rPr>
          <w:rFonts w:asciiTheme="majorBidi" w:hAnsiTheme="majorBidi" w:cstheme="majorBidi"/>
          <w:w w:val="95"/>
          <w:sz w:val="24"/>
          <w:szCs w:val="24"/>
        </w:rPr>
        <w:t>građenja komunalne infrastrukture na području Općine Čaglin u 2023. godini</w:t>
      </w:r>
    </w:p>
    <w:p w14:paraId="4D6C58D1" w14:textId="50AA60BF" w:rsidR="00DC79D3" w:rsidRPr="00DC79D3" w:rsidRDefault="00DC79D3" w:rsidP="00DC79D3">
      <w:pPr>
        <w:spacing w:after="0"/>
        <w:ind w:left="508" w:right="822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po I. rebalansu proračuna</w:t>
      </w:r>
    </w:p>
    <w:p w14:paraId="1E998F40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04193FFA" w14:textId="77777777" w:rsidR="00DC79D3" w:rsidRPr="00DC79D3" w:rsidRDefault="00DC79D3" w:rsidP="00DC79D3">
      <w:pPr>
        <w:pStyle w:val="Tijeloteksta"/>
        <w:ind w:left="432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Članak 1.</w:t>
      </w:r>
    </w:p>
    <w:p w14:paraId="57B8165C" w14:textId="77777777" w:rsidR="00DC79D3" w:rsidRPr="00DC79D3" w:rsidRDefault="00DC79D3" w:rsidP="00DC79D3">
      <w:pPr>
        <w:pStyle w:val="Tijeloteksta"/>
        <w:ind w:left="432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C3EBEA2" w14:textId="77777777" w:rsidR="00DC79D3" w:rsidRPr="00DC79D3" w:rsidRDefault="00DC79D3" w:rsidP="00DC79D3">
      <w:pPr>
        <w:pStyle w:val="Tijeloteksta"/>
        <w:spacing w:line="252" w:lineRule="auto"/>
        <w:ind w:left="235" w:right="548" w:firstLine="473"/>
        <w:jc w:val="both"/>
        <w:rPr>
          <w:rFonts w:asciiTheme="majorBidi" w:hAnsiTheme="majorBidi" w:cstheme="majorBidi"/>
          <w:b w:val="0"/>
          <w:bCs w:val="0"/>
          <w:spacing w:val="-17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w w:val="95"/>
          <w:sz w:val="24"/>
          <w:szCs w:val="24"/>
        </w:rPr>
        <w:t xml:space="preserve">Program građenja komunalne infrastrukture na području Općine Čaglin u 2023. godini (u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daljnjem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tekstu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Program)</w:t>
      </w:r>
      <w:r w:rsidRPr="00DC79D3">
        <w:rPr>
          <w:rFonts w:asciiTheme="majorBidi" w:hAnsiTheme="majorBidi" w:cstheme="majorBidi"/>
          <w:b w:val="0"/>
          <w:bCs w:val="0"/>
          <w:spacing w:val="-1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izrađuje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se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donosi</w:t>
      </w:r>
      <w:r w:rsidRPr="00DC79D3">
        <w:rPr>
          <w:rFonts w:asciiTheme="majorBidi" w:hAnsiTheme="majorBidi" w:cstheme="majorBidi"/>
          <w:b w:val="0"/>
          <w:bCs w:val="0"/>
          <w:spacing w:val="-1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skladu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izvješćem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stanju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Pr="00DC79D3">
        <w:rPr>
          <w:rFonts w:asciiTheme="majorBidi" w:hAnsiTheme="majorBidi" w:cstheme="majorBidi"/>
          <w:b w:val="0"/>
          <w:bCs w:val="0"/>
          <w:spacing w:val="-1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prostoru, </w:t>
      </w:r>
      <w:r w:rsidRPr="00DC79D3">
        <w:rPr>
          <w:rFonts w:asciiTheme="majorBidi" w:hAnsiTheme="majorBidi" w:cstheme="majorBidi"/>
          <w:b w:val="0"/>
          <w:bCs w:val="0"/>
          <w:w w:val="95"/>
          <w:sz w:val="24"/>
          <w:szCs w:val="24"/>
        </w:rPr>
        <w:t>potrebama uređenja zemljišta planiranog prostornim planom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, a vodeći računa o troškovima građenja infrastrukture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te</w:t>
      </w:r>
      <w:r w:rsidRPr="00DC79D3">
        <w:rPr>
          <w:rFonts w:asciiTheme="majorBidi" w:hAnsiTheme="majorBidi" w:cstheme="majorBidi"/>
          <w:b w:val="0"/>
          <w:bCs w:val="0"/>
          <w:spacing w:val="-7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financijskim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mogućnostima</w:t>
      </w:r>
      <w:r w:rsidRPr="00DC79D3">
        <w:rPr>
          <w:rFonts w:asciiTheme="majorBidi" w:hAnsiTheme="majorBidi" w:cstheme="majorBidi"/>
          <w:b w:val="0"/>
          <w:bCs w:val="0"/>
          <w:spacing w:val="-7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predvidivim</w:t>
      </w:r>
      <w:r w:rsidRPr="00DC79D3">
        <w:rPr>
          <w:rFonts w:asciiTheme="majorBidi" w:hAnsiTheme="majorBidi" w:cstheme="majorBidi"/>
          <w:b w:val="0"/>
          <w:bCs w:val="0"/>
          <w:spacing w:val="-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izvorima</w:t>
      </w:r>
      <w:r w:rsidRPr="00DC79D3">
        <w:rPr>
          <w:rFonts w:asciiTheme="majorBidi" w:hAnsiTheme="majorBidi" w:cstheme="majorBidi"/>
          <w:b w:val="0"/>
          <w:bCs w:val="0"/>
          <w:spacing w:val="-7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prihoda</w:t>
      </w:r>
      <w:r w:rsidRPr="00DC79D3">
        <w:rPr>
          <w:rFonts w:asciiTheme="majorBidi" w:hAnsiTheme="majorBidi" w:cstheme="majorBidi"/>
          <w:b w:val="0"/>
          <w:bCs w:val="0"/>
          <w:spacing w:val="-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financiranja njezina</w:t>
      </w:r>
      <w:r w:rsidRPr="00DC79D3">
        <w:rPr>
          <w:rFonts w:asciiTheme="majorBidi" w:hAnsiTheme="majorBidi" w:cstheme="majorBidi"/>
          <w:b w:val="0"/>
          <w:bCs w:val="0"/>
          <w:spacing w:val="-17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građenja.</w:t>
      </w:r>
      <w:r w:rsidRPr="00DC79D3">
        <w:rPr>
          <w:rFonts w:asciiTheme="majorBidi" w:hAnsiTheme="majorBidi" w:cstheme="majorBidi"/>
          <w:b w:val="0"/>
          <w:bCs w:val="0"/>
          <w:spacing w:val="-17"/>
          <w:sz w:val="24"/>
          <w:szCs w:val="24"/>
        </w:rPr>
        <w:t xml:space="preserve"> </w:t>
      </w:r>
    </w:p>
    <w:p w14:paraId="1E242651" w14:textId="77777777" w:rsidR="00DC79D3" w:rsidRPr="00DC79D3" w:rsidRDefault="00DC79D3" w:rsidP="00DC79D3">
      <w:pPr>
        <w:pStyle w:val="Tijeloteksta"/>
        <w:spacing w:line="252" w:lineRule="auto"/>
        <w:ind w:left="235" w:right="548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Ovim</w:t>
      </w:r>
      <w:r w:rsidRPr="00DC79D3">
        <w:rPr>
          <w:rFonts w:asciiTheme="majorBidi" w:hAnsiTheme="majorBidi" w:cstheme="majorBidi"/>
          <w:b w:val="0"/>
          <w:bCs w:val="0"/>
          <w:spacing w:val="-1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Programom</w:t>
      </w:r>
      <w:r w:rsidRPr="00DC79D3">
        <w:rPr>
          <w:rFonts w:asciiTheme="majorBidi" w:hAnsiTheme="majorBidi" w:cstheme="majorBidi"/>
          <w:b w:val="0"/>
          <w:bCs w:val="0"/>
          <w:spacing w:val="-1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određuju</w:t>
      </w:r>
      <w:r w:rsidRPr="00DC79D3">
        <w:rPr>
          <w:rFonts w:asciiTheme="majorBidi" w:hAnsiTheme="majorBidi" w:cstheme="majorBidi"/>
          <w:b w:val="0"/>
          <w:bCs w:val="0"/>
          <w:spacing w:val="-1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se:</w:t>
      </w:r>
    </w:p>
    <w:p w14:paraId="6BDEC69E" w14:textId="77777777" w:rsidR="00DC79D3" w:rsidRPr="00DC79D3" w:rsidRDefault="00DC79D3" w:rsidP="00DC79D3">
      <w:pPr>
        <w:tabs>
          <w:tab w:val="left" w:pos="496"/>
        </w:tabs>
        <w:spacing w:after="0" w:line="254" w:lineRule="auto"/>
        <w:ind w:left="-25" w:right="548"/>
        <w:jc w:val="both"/>
        <w:rPr>
          <w:rFonts w:asciiTheme="majorBidi" w:hAnsiTheme="majorBidi" w:cstheme="majorBidi"/>
          <w:w w:val="95"/>
          <w:sz w:val="24"/>
          <w:szCs w:val="24"/>
        </w:rPr>
      </w:pP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    1.građevine komunalne infrastrukture koje će se graditi radi uređenja neuređenih dijelova  </w:t>
      </w:r>
    </w:p>
    <w:p w14:paraId="5C768964" w14:textId="77777777" w:rsidR="00DC79D3" w:rsidRPr="00DC79D3" w:rsidRDefault="00DC79D3" w:rsidP="00DC79D3">
      <w:pPr>
        <w:tabs>
          <w:tab w:val="left" w:pos="496"/>
        </w:tabs>
        <w:spacing w:after="0" w:line="254" w:lineRule="auto"/>
        <w:ind w:left="-25" w:right="548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       </w:t>
      </w:r>
      <w:r w:rsidRPr="00DC79D3">
        <w:rPr>
          <w:rFonts w:asciiTheme="majorBidi" w:hAnsiTheme="majorBidi" w:cstheme="majorBidi"/>
          <w:sz w:val="24"/>
          <w:szCs w:val="24"/>
        </w:rPr>
        <w:t>građevinskog</w:t>
      </w:r>
      <w:r w:rsidRPr="00DC79D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područja</w:t>
      </w:r>
    </w:p>
    <w:p w14:paraId="4A81B40B" w14:textId="77777777" w:rsidR="00DC79D3" w:rsidRPr="00DC79D3" w:rsidRDefault="00DC79D3" w:rsidP="00DC79D3">
      <w:pPr>
        <w:tabs>
          <w:tab w:val="left" w:pos="474"/>
        </w:tabs>
        <w:spacing w:after="0" w:line="252" w:lineRule="auto"/>
        <w:ind w:left="-25" w:right="548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    2.građevine</w:t>
      </w:r>
      <w:r w:rsidRPr="00DC79D3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komunalne</w:t>
      </w:r>
      <w:r w:rsidRPr="00DC79D3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infrastrukture</w:t>
      </w:r>
      <w:r w:rsidRPr="00DC79D3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koje</w:t>
      </w:r>
      <w:r w:rsidRPr="00DC79D3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će</w:t>
      </w:r>
      <w:r w:rsidRPr="00DC79D3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se</w:t>
      </w:r>
      <w:r w:rsidRPr="00DC79D3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graditi</w:t>
      </w:r>
      <w:r w:rsidRPr="00DC79D3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u</w:t>
      </w:r>
      <w:r w:rsidRPr="00DC79D3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uređenim</w:t>
      </w:r>
      <w:r w:rsidRPr="00DC79D3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>dijelovima</w:t>
      </w:r>
      <w:r w:rsidRPr="00DC79D3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w w:val="95"/>
          <w:sz w:val="24"/>
          <w:szCs w:val="24"/>
        </w:rPr>
        <w:t xml:space="preserve">građevinskog </w:t>
      </w:r>
      <w:r w:rsidRPr="00DC79D3">
        <w:rPr>
          <w:rFonts w:asciiTheme="majorBidi" w:hAnsiTheme="majorBidi" w:cstheme="majorBidi"/>
          <w:sz w:val="24"/>
          <w:szCs w:val="24"/>
        </w:rPr>
        <w:t>područja</w:t>
      </w:r>
    </w:p>
    <w:p w14:paraId="6CE4E75B" w14:textId="77777777" w:rsidR="00DC79D3" w:rsidRPr="00DC79D3" w:rsidRDefault="00DC79D3" w:rsidP="00DC79D3">
      <w:pPr>
        <w:tabs>
          <w:tab w:val="left" w:pos="47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 xml:space="preserve">   3.građevine</w:t>
      </w:r>
      <w:r w:rsidRPr="00DC79D3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komunalne</w:t>
      </w:r>
      <w:r w:rsidRPr="00DC79D3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infrastrukture</w:t>
      </w:r>
      <w:r w:rsidRPr="00DC79D3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koje</w:t>
      </w:r>
      <w:r w:rsidRPr="00DC79D3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će</w:t>
      </w:r>
      <w:r w:rsidRPr="00DC79D3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se</w:t>
      </w:r>
      <w:r w:rsidRPr="00DC79D3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graditi</w:t>
      </w:r>
      <w:r w:rsidRPr="00DC79D3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izvan</w:t>
      </w:r>
      <w:r w:rsidRPr="00DC79D3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građevinskog</w:t>
      </w:r>
      <w:r w:rsidRPr="00DC79D3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područja</w:t>
      </w:r>
    </w:p>
    <w:p w14:paraId="248C7456" w14:textId="77777777" w:rsidR="00DC79D3" w:rsidRPr="00DC79D3" w:rsidRDefault="00DC79D3" w:rsidP="00DC79D3">
      <w:pPr>
        <w:tabs>
          <w:tab w:val="left" w:pos="594"/>
        </w:tabs>
        <w:spacing w:after="0" w:line="252" w:lineRule="auto"/>
        <w:ind w:right="548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 xml:space="preserve">   4.postojeće građevine komunalne infrastrukture koje će se rekonstruirati i način rekonstrukcije</w:t>
      </w:r>
    </w:p>
    <w:p w14:paraId="3B57DED5" w14:textId="77777777" w:rsidR="00DC79D3" w:rsidRPr="00DC79D3" w:rsidRDefault="00DC79D3" w:rsidP="00DC79D3">
      <w:pPr>
        <w:tabs>
          <w:tab w:val="left" w:pos="47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 xml:space="preserve">   5.građevine</w:t>
      </w:r>
      <w:r w:rsidRPr="00DC79D3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komunalne</w:t>
      </w:r>
      <w:r w:rsidRPr="00DC79D3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infrastrukture</w:t>
      </w:r>
      <w:r w:rsidRPr="00DC79D3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koje</w:t>
      </w:r>
      <w:r w:rsidRPr="00DC79D3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će</w:t>
      </w:r>
      <w:r w:rsidRPr="00DC79D3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se</w:t>
      </w:r>
      <w:r w:rsidRPr="00DC79D3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uklanjati</w:t>
      </w:r>
    </w:p>
    <w:p w14:paraId="350C782E" w14:textId="77777777" w:rsidR="00DC79D3" w:rsidRPr="00DC79D3" w:rsidRDefault="00DC79D3" w:rsidP="00DC79D3">
      <w:pPr>
        <w:pStyle w:val="Tijeloteksta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3A6B5EA5" w14:textId="77777777" w:rsidR="00DC79D3" w:rsidRPr="00DC79D3" w:rsidRDefault="00DC79D3" w:rsidP="00DC79D3">
      <w:pPr>
        <w:pStyle w:val="Tijeloteksta"/>
        <w:ind w:left="23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Građevine komunalne infrastrukture jesu:</w:t>
      </w:r>
    </w:p>
    <w:p w14:paraId="441AA2ED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after="0" w:line="240" w:lineRule="auto"/>
        <w:ind w:hanging="1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nerazvrstane</w:t>
      </w:r>
      <w:r w:rsidRPr="00DC79D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ceste</w:t>
      </w:r>
    </w:p>
    <w:p w14:paraId="4CE946C6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90500383"/>
      <w:r w:rsidRPr="00DC79D3">
        <w:rPr>
          <w:rFonts w:asciiTheme="majorBidi" w:hAnsiTheme="majorBidi" w:cstheme="majorBidi"/>
          <w:sz w:val="24"/>
          <w:szCs w:val="24"/>
        </w:rPr>
        <w:t>javne</w:t>
      </w:r>
      <w:r w:rsidRPr="00DC79D3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prometne</w:t>
      </w:r>
      <w:r w:rsidRPr="00DC79D3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površine</w:t>
      </w:r>
      <w:r w:rsidRPr="00DC79D3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na</w:t>
      </w:r>
      <w:r w:rsidRPr="00DC79D3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kojima</w:t>
      </w:r>
      <w:r w:rsidRPr="00DC79D3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nije</w:t>
      </w:r>
      <w:r w:rsidRPr="00DC79D3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dopušten</w:t>
      </w:r>
      <w:r w:rsidRPr="00DC79D3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promet</w:t>
      </w:r>
      <w:r w:rsidRPr="00DC79D3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motornih</w:t>
      </w:r>
      <w:r w:rsidRPr="00DC79D3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vozila</w:t>
      </w:r>
    </w:p>
    <w:bookmarkEnd w:id="0"/>
    <w:p w14:paraId="2C4CEA41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javna</w:t>
      </w:r>
      <w:r w:rsidRPr="00DC79D3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parkirališta</w:t>
      </w:r>
    </w:p>
    <w:p w14:paraId="1DC38EAA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javne</w:t>
      </w:r>
      <w:r w:rsidRPr="00DC79D3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garaže</w:t>
      </w:r>
    </w:p>
    <w:p w14:paraId="7244DB6F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javne zelene</w:t>
      </w:r>
      <w:r w:rsidRPr="00DC79D3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površine</w:t>
      </w:r>
    </w:p>
    <w:p w14:paraId="56A31CB2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građevine</w:t>
      </w:r>
      <w:r w:rsidRPr="00DC79D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i</w:t>
      </w:r>
      <w:r w:rsidRPr="00DC79D3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uređaji</w:t>
      </w:r>
      <w:r w:rsidRPr="00DC79D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javne</w:t>
      </w:r>
      <w:r w:rsidRPr="00DC79D3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namjene</w:t>
      </w:r>
    </w:p>
    <w:p w14:paraId="4A90BDBE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javna</w:t>
      </w:r>
      <w:r w:rsidRPr="00DC79D3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rasvjeta</w:t>
      </w:r>
    </w:p>
    <w:p w14:paraId="2DCBFD23" w14:textId="77777777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groblja</w:t>
      </w:r>
    </w:p>
    <w:p w14:paraId="2BF2C504" w14:textId="4C975FD6" w:rsidR="00DC79D3" w:rsidRPr="00DC79D3" w:rsidRDefault="00DC79D3" w:rsidP="00DC79D3">
      <w:pPr>
        <w:pStyle w:val="Odlomakpopisa"/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after="0" w:line="240" w:lineRule="auto"/>
        <w:ind w:left="420" w:hanging="1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građevine</w:t>
      </w:r>
      <w:r w:rsidRPr="00DC79D3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namijenjene</w:t>
      </w:r>
      <w:r w:rsidRPr="00DC79D3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obavljanju</w:t>
      </w:r>
      <w:r w:rsidRPr="00DC79D3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javnog</w:t>
      </w:r>
      <w:r w:rsidRPr="00DC79D3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sz w:val="24"/>
          <w:szCs w:val="24"/>
        </w:rPr>
        <w:t>prijevoza.</w:t>
      </w:r>
    </w:p>
    <w:p w14:paraId="11B47E02" w14:textId="77777777" w:rsidR="00DC79D3" w:rsidRPr="00DC79D3" w:rsidRDefault="00DC79D3" w:rsidP="00DC79D3">
      <w:pPr>
        <w:pStyle w:val="Tijeloteksta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452C561" w14:textId="77777777" w:rsidR="00DC79D3" w:rsidRPr="00DC79D3" w:rsidRDefault="00DC79D3" w:rsidP="00DC79D3">
      <w:pPr>
        <w:pStyle w:val="Tijeloteksta"/>
        <w:ind w:left="4327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Članak 2.</w:t>
      </w:r>
    </w:p>
    <w:p w14:paraId="066AEBFD" w14:textId="77777777" w:rsidR="00DC79D3" w:rsidRPr="00DC79D3" w:rsidRDefault="00DC79D3" w:rsidP="00DC79D3">
      <w:pPr>
        <w:pStyle w:val="Tijeloteksta"/>
        <w:ind w:left="432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EEC02E7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Sadržaj programa prikazan je kako slijedi:</w:t>
      </w:r>
    </w:p>
    <w:p w14:paraId="4F384862" w14:textId="77777777" w:rsidR="00DC79D3" w:rsidRPr="00DC79D3" w:rsidRDefault="00DC79D3" w:rsidP="00DC79D3">
      <w:pPr>
        <w:pStyle w:val="Tijeloteksta"/>
        <w:ind w:left="23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3D3DCA18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1.Nerazvrstane ceste</w:t>
      </w:r>
    </w:p>
    <w:p w14:paraId="067EC32E" w14:textId="77777777" w:rsidR="00DC79D3" w:rsidRPr="00DC79D3" w:rsidRDefault="00DC79D3" w:rsidP="00DC79D3">
      <w:pPr>
        <w:pStyle w:val="Tijeloteksta"/>
        <w:ind w:left="595"/>
        <w:rPr>
          <w:rFonts w:asciiTheme="majorBidi" w:hAnsiTheme="majorBidi" w:cstheme="majorBidi"/>
          <w:b w:val="0"/>
          <w:bCs w:val="0"/>
          <w:sz w:val="24"/>
          <w:szCs w:val="24"/>
        </w:rPr>
      </w:pPr>
      <w:bookmarkStart w:id="1" w:name="_Hlk90500005"/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41"/>
        <w:gridCol w:w="2035"/>
        <w:gridCol w:w="2726"/>
        <w:gridCol w:w="2578"/>
      </w:tblGrid>
      <w:tr w:rsidR="00DC79D3" w:rsidRPr="00DC79D3" w14:paraId="3269B640" w14:textId="77777777" w:rsidTr="008A341E">
        <w:trPr>
          <w:trHeight w:val="312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81261A0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380D85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6B6B59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Procjena i vrsta troškova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50232D7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0651F2C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Izvori financiranja </w:t>
            </w:r>
          </w:p>
        </w:tc>
      </w:tr>
      <w:tr w:rsidR="00DC79D3" w:rsidRPr="00DC79D3" w14:paraId="51546504" w14:textId="77777777" w:rsidTr="008A341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171DF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A2977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  <w:lang w:eastAsia="hr-HR"/>
              </w:rPr>
              <w:t>Rekonstrukcija centra u Čaglinu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58F94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Građenje/nadzor </w:t>
            </w:r>
          </w:p>
          <w:p w14:paraId="1A31CFF9" w14:textId="3AD3D073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4479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0837E0" w14:textId="4C182E7F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</w:p>
        </w:tc>
      </w:tr>
      <w:tr w:rsidR="00DC79D3" w:rsidRPr="00DC79D3" w14:paraId="05FBD722" w14:textId="77777777" w:rsidTr="008A341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41FB9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1CACE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Uređenje ceste prema Dobrogošću (dio)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E2F6D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Građenje/nadzor</w:t>
            </w:r>
          </w:p>
          <w:p w14:paraId="1BAE6CB3" w14:textId="104219B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46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.000,00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CCB7F" w14:textId="77777777" w:rsidR="00DC79D3" w:rsidRPr="00DC79D3" w:rsidRDefault="00DC79D3" w:rsidP="00DC79D3">
            <w:pPr>
              <w:tabs>
                <w:tab w:val="left" w:pos="474"/>
              </w:tabs>
              <w:spacing w:after="0" w:line="252" w:lineRule="auto"/>
              <w:ind w:left="-25" w:right="548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679103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Šumski doprinos: </w:t>
            </w:r>
          </w:p>
          <w:p w14:paraId="3933240A" w14:textId="4E98A715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190.900</w:t>
            </w: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,00 eur</w:t>
            </w:r>
          </w:p>
          <w:p w14:paraId="79FA6886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Opći prihodi i primici: </w:t>
            </w:r>
          </w:p>
          <w:p w14:paraId="1688D52B" w14:textId="2008231E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15.100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  <w:p w14:paraId="1A668919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Kapitalne pomoći:</w:t>
            </w:r>
          </w:p>
          <w:p w14:paraId="6AA63994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40.000,00 eur</w:t>
            </w:r>
          </w:p>
        </w:tc>
        <w:bookmarkEnd w:id="1"/>
      </w:tr>
      <w:tr w:rsidR="00DC79D3" w:rsidRPr="00DC79D3" w14:paraId="3489758D" w14:textId="77777777" w:rsidTr="008A341E">
        <w:trPr>
          <w:trHeight w:val="1148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8EA33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7EDF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Projektna dokumentacija za centar u Čaglinu</w:t>
            </w:r>
          </w:p>
          <w:p w14:paraId="66B8EA68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76DD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Dokumentacija</w:t>
            </w:r>
          </w:p>
          <w:p w14:paraId="6FADE961" w14:textId="3ADD9DEF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   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1A0F" w14:textId="77777777" w:rsidR="00DC79D3" w:rsidRPr="00DC79D3" w:rsidRDefault="00DC79D3" w:rsidP="00DC79D3">
            <w:pPr>
              <w:tabs>
                <w:tab w:val="left" w:pos="474"/>
              </w:tabs>
              <w:spacing w:after="0" w:line="252" w:lineRule="auto"/>
              <w:ind w:left="-25" w:right="548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799F9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  <w:p w14:paraId="28287E7E" w14:textId="6300A7D3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</w:tr>
      <w:tr w:rsidR="00FE62D7" w:rsidRPr="00DC79D3" w14:paraId="093EDE3B" w14:textId="77777777" w:rsidTr="008A341E">
        <w:trPr>
          <w:trHeight w:val="1148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3A6F6" w14:textId="0FCD35DC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0B5A" w14:textId="60FE09A3" w:rsidR="00FE62D7" w:rsidRPr="00DC79D3" w:rsidRDefault="00FE62D7" w:rsidP="00DC79D3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Uređenje ulice u Ruševu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4952" w14:textId="699D2032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47.700,00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AF86" w14:textId="458FF83D" w:rsidR="00FE62D7" w:rsidRPr="00DC79D3" w:rsidRDefault="00FE62D7" w:rsidP="00DC79D3">
            <w:pPr>
              <w:tabs>
                <w:tab w:val="left" w:pos="474"/>
              </w:tabs>
              <w:spacing w:after="0" w:line="252" w:lineRule="auto"/>
              <w:ind w:left="-25" w:right="548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1FB05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Opći prihodi i primici:</w:t>
            </w:r>
          </w:p>
          <w:p w14:paraId="3C710B06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22.700,00 eur</w:t>
            </w:r>
          </w:p>
          <w:p w14:paraId="085442D2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Kapitalne pomoći:</w:t>
            </w:r>
          </w:p>
          <w:p w14:paraId="219C6E44" w14:textId="09E65116" w:rsidR="00FE62D7" w:rsidRPr="00DC79D3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25.000,00</w:t>
            </w:r>
          </w:p>
        </w:tc>
      </w:tr>
      <w:tr w:rsidR="00FE62D7" w:rsidRPr="00DC79D3" w14:paraId="46F6E6FA" w14:textId="77777777" w:rsidTr="008A341E">
        <w:trPr>
          <w:trHeight w:val="1148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F12DB" w14:textId="0C881EFF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5F6E" w14:textId="567B0505" w:rsidR="00FE62D7" w:rsidRPr="00DC79D3" w:rsidRDefault="00FE62D7" w:rsidP="00DC79D3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Uređenje ulice u Ljeskovici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F32C" w14:textId="2A222B3B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32.400,00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D49F" w14:textId="34F4F07A" w:rsidR="00FE62D7" w:rsidRPr="00DC79D3" w:rsidRDefault="00FE62D7" w:rsidP="00DC79D3">
            <w:pPr>
              <w:tabs>
                <w:tab w:val="left" w:pos="474"/>
              </w:tabs>
              <w:spacing w:after="0" w:line="252" w:lineRule="auto"/>
              <w:ind w:left="-25" w:right="548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3E9B3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Opći prihodi i primici:</w:t>
            </w:r>
          </w:p>
          <w:p w14:paraId="7D13A2BD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12.900,00 eur</w:t>
            </w:r>
          </w:p>
          <w:p w14:paraId="43DEA8A7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Kapitalne pomoći.</w:t>
            </w:r>
          </w:p>
          <w:p w14:paraId="78D2B857" w14:textId="08880104" w:rsidR="00FE62D7" w:rsidRPr="00DC79D3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19.500,00</w:t>
            </w:r>
          </w:p>
        </w:tc>
      </w:tr>
      <w:tr w:rsidR="00DC79D3" w:rsidRPr="00DC79D3" w14:paraId="79B101F5" w14:textId="77777777" w:rsidTr="008A341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6F6A88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56A1C0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87FB05" w14:textId="7831FA04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   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326.100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B5D877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E2B6A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Opći prihodi i primici: </w:t>
            </w:r>
          </w:p>
          <w:p w14:paraId="111467B7" w14:textId="7022784E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5</w:t>
            </w:r>
            <w:r w:rsidR="005E387E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</w:t>
            </w: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.700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  <w:p w14:paraId="56DB81AA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Šumski doprinos: </w:t>
            </w:r>
          </w:p>
          <w:p w14:paraId="3E0A3AB6" w14:textId="04B7C621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190.900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  <w:p w14:paraId="297B3DCC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Kapitalne pomoći :</w:t>
            </w:r>
          </w:p>
          <w:p w14:paraId="77FE813D" w14:textId="08430B32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8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.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5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</w:tc>
      </w:tr>
    </w:tbl>
    <w:p w14:paraId="16A51D80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76976F7" w14:textId="77777777" w:rsidR="00DC79D3" w:rsidRPr="00DC79D3" w:rsidRDefault="00DC79D3" w:rsidP="00DC79D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405B5CE" w14:textId="77777777" w:rsidR="00DC79D3" w:rsidRPr="00DC79D3" w:rsidRDefault="00DC79D3" w:rsidP="00DC79D3">
      <w:pPr>
        <w:spacing w:after="0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>2. Javna rasvjeta</w:t>
      </w:r>
    </w:p>
    <w:p w14:paraId="6A1C4BAB" w14:textId="77777777" w:rsidR="00DC79D3" w:rsidRPr="00DC79D3" w:rsidRDefault="00DC79D3" w:rsidP="00DC79D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A8FC2ED" w14:textId="77777777" w:rsidR="00DC79D3" w:rsidRPr="00DC79D3" w:rsidRDefault="00DC79D3" w:rsidP="00DC79D3">
      <w:pPr>
        <w:pStyle w:val="Tijeloteksta"/>
        <w:ind w:left="59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59"/>
        <w:gridCol w:w="2055"/>
        <w:gridCol w:w="2139"/>
        <w:gridCol w:w="3115"/>
      </w:tblGrid>
      <w:tr w:rsidR="00DC79D3" w:rsidRPr="00DC79D3" w14:paraId="5BB9CCE3" w14:textId="77777777" w:rsidTr="008A341E">
        <w:trPr>
          <w:trHeight w:val="312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835D5D6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9677C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4E3B360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E652D9B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A939B4F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Izvori financiranja </w:t>
            </w:r>
          </w:p>
        </w:tc>
      </w:tr>
      <w:tr w:rsidR="00DC79D3" w:rsidRPr="00DC79D3" w14:paraId="09A5A748" w14:textId="77777777" w:rsidTr="008A341E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FA3C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D7423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D403A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Građenje/Nadzor  </w:t>
            </w:r>
          </w:p>
          <w:p w14:paraId="7E85D5EC" w14:textId="25BCDCA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133.600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CAB4E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4B0D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</w:p>
          <w:p w14:paraId="643027E7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Opći prihodi i primici: </w:t>
            </w:r>
          </w:p>
          <w:p w14:paraId="2677AAED" w14:textId="5A40B5F4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133.600</w:t>
            </w:r>
            <w:r w:rsidR="00DC79D3"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,00 eur</w:t>
            </w:r>
          </w:p>
          <w:p w14:paraId="57E5100D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</w:p>
        </w:tc>
      </w:tr>
      <w:tr w:rsidR="00FE62D7" w:rsidRPr="00DC79D3" w14:paraId="76A37301" w14:textId="77777777" w:rsidTr="008A341E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5FE79" w14:textId="7FC15CE7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3206" w14:textId="5F459419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Izgradnja javne rasvjete u Vukojevici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EC01" w14:textId="3A97C811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27.300,00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C010" w14:textId="5B07CCA9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2F0AF" w14:textId="77777777" w:rsidR="00FE62D7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Opći prihodi i primici:</w:t>
            </w:r>
          </w:p>
          <w:p w14:paraId="5559F1F0" w14:textId="7736B916" w:rsidR="00FE62D7" w:rsidRPr="00DC79D3" w:rsidRDefault="00FE62D7" w:rsidP="00FE62D7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27.300,00 eur</w:t>
            </w:r>
          </w:p>
        </w:tc>
      </w:tr>
      <w:tr w:rsidR="00DC79D3" w:rsidRPr="00DC79D3" w14:paraId="35401814" w14:textId="77777777" w:rsidTr="008A341E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0F1F7E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37F04D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0A9769" w14:textId="5EAA8F28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60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.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9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5F5E07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A705F0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Opći prihodi i primici: </w:t>
            </w:r>
          </w:p>
          <w:p w14:paraId="039BA866" w14:textId="5ACC0579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160.9</w:t>
            </w:r>
            <w:r w:rsidR="00DC79D3"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00,00 eur</w:t>
            </w:r>
          </w:p>
          <w:p w14:paraId="05980D3A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</w:p>
        </w:tc>
      </w:tr>
    </w:tbl>
    <w:p w14:paraId="76E87EF8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05BE9C7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71245088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3 .Groblja i mrtvačnice</w:t>
      </w:r>
    </w:p>
    <w:p w14:paraId="19325810" w14:textId="77777777" w:rsidR="00DC79D3" w:rsidRPr="00DC79D3" w:rsidRDefault="00DC79D3" w:rsidP="00DC79D3">
      <w:pPr>
        <w:pStyle w:val="Tijeloteksta"/>
        <w:ind w:left="59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DC79D3" w:rsidRPr="00DC79D3" w14:paraId="124371A0" w14:textId="77777777" w:rsidTr="008A341E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690B98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bookmarkStart w:id="2" w:name="_Hlk59104771"/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EE9F6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8655249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21292A2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D904212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Izvori financiranja </w:t>
            </w:r>
          </w:p>
        </w:tc>
      </w:tr>
      <w:tr w:rsidR="00DC79D3" w:rsidRPr="00DC79D3" w14:paraId="7E18796D" w14:textId="77777777" w:rsidTr="008A341E">
        <w:trPr>
          <w:trHeight w:val="1448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CCBC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D185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  <w:lang w:eastAsia="hr-HR"/>
              </w:rPr>
              <w:t>Izgradnja mrtvačnice na groblju u Migalovcima (kč.br 202)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ADB54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Građenje  </w:t>
            </w:r>
          </w:p>
          <w:p w14:paraId="1D1D01AE" w14:textId="6C51667B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         </w:t>
            </w:r>
            <w:r w:rsidR="00FE62D7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5.900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633B8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građevina komunalne infrastrukture koja će se graditi u izdvojenom dijelu građevinskog područje izvan naselja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8B0CEF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Opći prihodi i primici : </w:t>
            </w:r>
          </w:p>
          <w:p w14:paraId="317C06AA" w14:textId="6740BED7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5.900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</w:tc>
      </w:tr>
      <w:tr w:rsidR="00DC79D3" w:rsidRPr="00DC79D3" w14:paraId="2E71465C" w14:textId="77777777" w:rsidTr="008A341E">
        <w:trPr>
          <w:trHeight w:val="474"/>
          <w:jc w:val="center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BF74A5B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8EC2CFF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Izgradnja mrtvačnice na groblju u Novoj Ljeskovici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787055C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Građenje</w:t>
            </w:r>
          </w:p>
          <w:p w14:paraId="61E56247" w14:textId="3449090B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         2</w:t>
            </w:r>
            <w:r w:rsidR="00FE62D7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9</w:t>
            </w: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.</w:t>
            </w:r>
            <w:r w:rsidR="00FE62D7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5</w:t>
            </w: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00,00 eur 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7F81F0D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građevina komunalne infrastrukture koja će se graditi u izdvojenom dijelu građevinskog područje izvan naselja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4CC06B8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Prihod od naknade za zadržavanje zgrada:</w:t>
            </w:r>
          </w:p>
          <w:p w14:paraId="622AA83E" w14:textId="21DC54D2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200</w:t>
            </w:r>
            <w:r w:rsidR="00DC79D3"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,00 eur</w:t>
            </w:r>
          </w:p>
          <w:p w14:paraId="198545D7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Komunalni doprinos: </w:t>
            </w:r>
          </w:p>
          <w:p w14:paraId="28D5117D" w14:textId="23C865BC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50,00 eur</w:t>
            </w:r>
          </w:p>
          <w:p w14:paraId="110CADB9" w14:textId="583E13E4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Opći prihodi i primici: 2</w:t>
            </w:r>
            <w:r w:rsidR="00FE62D7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9</w:t>
            </w: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.</w:t>
            </w:r>
            <w:r w:rsidR="00FE62D7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2</w:t>
            </w: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50,00 eur</w:t>
            </w:r>
          </w:p>
        </w:tc>
      </w:tr>
      <w:tr w:rsidR="00DC79D3" w:rsidRPr="00DC79D3" w14:paraId="7B25EE5E" w14:textId="77777777" w:rsidTr="008A341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4FB15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412F4B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C021D7" w14:textId="5B449B48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35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DF2DE4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0562C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 xml:space="preserve">Prihod od naknade za zadržavanje zgrada: </w:t>
            </w:r>
          </w:p>
          <w:p w14:paraId="3926C7BA" w14:textId="018F33A7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2</w:t>
            </w:r>
            <w:r w:rsidR="00DC79D3"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00,00 eur</w:t>
            </w:r>
          </w:p>
          <w:p w14:paraId="1FC8FA12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Komunalni doprinos:</w:t>
            </w:r>
          </w:p>
          <w:p w14:paraId="7C2E53A9" w14:textId="04080AC9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50,00 eur</w:t>
            </w:r>
          </w:p>
          <w:p w14:paraId="184C7368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Opći prihodi i primici: </w:t>
            </w:r>
          </w:p>
          <w:p w14:paraId="47F41DBE" w14:textId="753321DD" w:rsidR="00DC79D3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35.150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  <w:r w:rsidR="00DC79D3" w:rsidRPr="00DC79D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bookmarkEnd w:id="2"/>
    </w:tbl>
    <w:p w14:paraId="79367F03" w14:textId="77777777" w:rsidR="00DC79D3" w:rsidRPr="00DC79D3" w:rsidRDefault="00DC79D3" w:rsidP="00DC79D3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3AB38176" w14:textId="77777777" w:rsidR="00DC79D3" w:rsidRPr="00DC79D3" w:rsidRDefault="00DC79D3" w:rsidP="00DC79D3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4. Građevine i uređaji javne namjene (sufnanciranje radova na odvodnji u Čaglinu, trafostanica i elekt.vodovi u industrijskoj zoni)</w:t>
      </w:r>
    </w:p>
    <w:p w14:paraId="137A70F3" w14:textId="77777777" w:rsidR="00DC79D3" w:rsidRPr="00DC79D3" w:rsidRDefault="00DC79D3" w:rsidP="00DC79D3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B4BCF07" w14:textId="77777777" w:rsidR="00DC79D3" w:rsidRPr="00DC79D3" w:rsidRDefault="00DC79D3" w:rsidP="00DC79D3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DC79D3" w:rsidRPr="00DC79D3" w14:paraId="0B0CB2B9" w14:textId="77777777" w:rsidTr="008A341E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6521497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EC9E8E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18B5BD1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A4E3D89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69B9E17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Izvori financiranja </w:t>
            </w:r>
          </w:p>
        </w:tc>
      </w:tr>
      <w:tr w:rsidR="00DC79D3" w:rsidRPr="00DC79D3" w14:paraId="537E3B82" w14:textId="77777777" w:rsidTr="008A341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118EF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455E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Sufinanciranje radova na odvodnji u Čaglinu.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F7FF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Građenje</w:t>
            </w:r>
          </w:p>
          <w:p w14:paraId="7F09D690" w14:textId="2D3617AC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  <w:p w14:paraId="377945DA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999A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građevina komunalne infrastrukture koja </w:t>
            </w: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lastRenderedPageBreak/>
              <w:t>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FAD9B2" w14:textId="01681C4B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</w:tr>
      <w:tr w:rsidR="00DC79D3" w:rsidRPr="00DC79D3" w14:paraId="3544D020" w14:textId="77777777" w:rsidTr="008A341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DCCC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502D9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Trafostanica i elekt. vodovi u industrijskoj zoni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B068A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Građenje</w:t>
            </w:r>
          </w:p>
          <w:p w14:paraId="5BA6AF74" w14:textId="35182E5C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00,00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5CE62" w14:textId="77777777" w:rsidR="00DC79D3" w:rsidRPr="00DC79D3" w:rsidRDefault="00DC79D3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D28BA9" w14:textId="7BB7519D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</w:tr>
      <w:tr w:rsidR="00FE62D7" w:rsidRPr="00DC79D3" w14:paraId="4FED3D14" w14:textId="77777777" w:rsidTr="008A341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BA008" w14:textId="34C9924F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46C0" w14:textId="2E28C20D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r-HR"/>
              </w:rPr>
              <w:t>Vodovod u Latinovcu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E055" w14:textId="2892286A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48.000,00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F9A4" w14:textId="74C3E3AA" w:rsidR="00FE62D7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65E03" w14:textId="77777777" w:rsidR="00FE62D7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Opći prihodi i primici:</w:t>
            </w:r>
          </w:p>
          <w:p w14:paraId="4770DD79" w14:textId="02EE0CA7" w:rsidR="00FE62D7" w:rsidRPr="00DC79D3" w:rsidRDefault="00FE62D7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48.000,00 eur</w:t>
            </w:r>
          </w:p>
        </w:tc>
      </w:tr>
      <w:tr w:rsidR="00DC79D3" w:rsidRPr="00DC79D3" w14:paraId="0A251F49" w14:textId="77777777" w:rsidTr="008A341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F12DAC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71F55A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DE5DAD" w14:textId="36FAFF4B" w:rsidR="00DC79D3" w:rsidRPr="00DC79D3" w:rsidRDefault="00FE62D7" w:rsidP="00DC79D3">
            <w:pPr>
              <w:spacing w:after="0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48.000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BCA9D5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39C0C1" w14:textId="77777777" w:rsidR="00DC79D3" w:rsidRPr="00DC79D3" w:rsidRDefault="00DC79D3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 xml:space="preserve">Opći prihodi i primici: </w:t>
            </w:r>
          </w:p>
          <w:p w14:paraId="1EA452EE" w14:textId="3064D9D3" w:rsidR="00DC79D3" w:rsidRPr="00DC79D3" w:rsidRDefault="00367360" w:rsidP="00DC79D3">
            <w:pPr>
              <w:spacing w:after="0"/>
              <w:jc w:val="right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48.000</w:t>
            </w:r>
            <w:r w:rsidR="00DC79D3" w:rsidRPr="00DC79D3"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  <w:t>,00 eur</w:t>
            </w:r>
          </w:p>
          <w:p w14:paraId="210E2B63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  <w:p w14:paraId="37A32DE9" w14:textId="77777777" w:rsidR="00DC79D3" w:rsidRPr="00DC79D3" w:rsidRDefault="00DC79D3" w:rsidP="00DC79D3">
            <w:pPr>
              <w:spacing w:after="0"/>
              <w:jc w:val="center"/>
              <w:textAlignment w:val="baseline"/>
              <w:rPr>
                <w:rFonts w:asciiTheme="majorBidi" w:eastAsia="Times New Roman" w:hAnsiTheme="majorBidi" w:cstheme="majorBidi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4D2DEC9D" w14:textId="77777777" w:rsidR="00DC79D3" w:rsidRPr="00DC79D3" w:rsidRDefault="00DC79D3" w:rsidP="00DC79D3">
      <w:pPr>
        <w:pStyle w:val="Tijeloteksta"/>
        <w:ind w:left="507"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75DB2C9B" w14:textId="77777777" w:rsidR="00DC79D3" w:rsidRPr="00DC79D3" w:rsidRDefault="00DC79D3" w:rsidP="00DC79D3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744B33E3" w14:textId="77777777" w:rsidR="00DC79D3" w:rsidRPr="00DC79D3" w:rsidRDefault="00DC79D3" w:rsidP="00DC79D3">
      <w:pPr>
        <w:pStyle w:val="Tijeloteksta"/>
        <w:ind w:left="507" w:right="82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Rekapitulacija</w:t>
      </w:r>
    </w:p>
    <w:p w14:paraId="041275CB" w14:textId="77777777" w:rsidR="00DC79D3" w:rsidRPr="00DC79D3" w:rsidRDefault="00DC79D3" w:rsidP="00DC79D3">
      <w:pPr>
        <w:pStyle w:val="Tijeloteksta"/>
        <w:ind w:left="507" w:right="822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Style w:val="TableNormal"/>
        <w:tblW w:w="935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65"/>
      </w:tblGrid>
      <w:tr w:rsidR="00DC79D3" w:rsidRPr="00DC79D3" w14:paraId="34D37CA0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D96A1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Nerazvrstane ceste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88CEE" w14:textId="50FFDA5F" w:rsidR="00DC79D3" w:rsidRPr="00DC79D3" w:rsidRDefault="00367360" w:rsidP="00DC79D3">
            <w:pPr>
              <w:pStyle w:val="TableParagraph"/>
              <w:spacing w:line="240" w:lineRule="auto"/>
              <w:ind w:right="8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326.100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49F61BA4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0CAD6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Javna rasvjeta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3CE0" w14:textId="0609BDBA" w:rsidR="00DC79D3" w:rsidRPr="00DC79D3" w:rsidRDefault="00DC79D3" w:rsidP="00DC79D3">
            <w:pPr>
              <w:pStyle w:val="TableParagraph"/>
              <w:spacing w:line="240" w:lineRule="auto"/>
              <w:ind w:right="8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67360">
              <w:rPr>
                <w:rFonts w:asciiTheme="majorBidi" w:hAnsiTheme="majorBidi" w:cstheme="majorBidi"/>
                <w:sz w:val="24"/>
                <w:szCs w:val="24"/>
              </w:rPr>
              <w:t>60.900</w:t>
            </w:r>
            <w:r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35B8F75A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A40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Groblja i mrtvačnice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4A4A" w14:textId="6C1DB88E" w:rsidR="00DC79D3" w:rsidRPr="00DC79D3" w:rsidRDefault="00367360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00,00 eur</w:t>
            </w:r>
          </w:p>
          <w:p w14:paraId="7BC0FD0E" w14:textId="77777777" w:rsidR="00DC79D3" w:rsidRPr="00DC79D3" w:rsidRDefault="00DC79D3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79D3" w:rsidRPr="00DC79D3" w14:paraId="5452C355" w14:textId="77777777" w:rsidTr="008A341E">
        <w:trPr>
          <w:trHeight w:val="327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5F584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Građevine i uređaji javne namjene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76CF" w14:textId="33A699FC" w:rsidR="00DC79D3" w:rsidRPr="00DC79D3" w:rsidRDefault="00DC79D3" w:rsidP="00DC79D3">
            <w:pPr>
              <w:pStyle w:val="TableParagraph"/>
              <w:spacing w:line="240" w:lineRule="auto"/>
              <w:ind w:right="8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36736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C79D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673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DC79D3">
              <w:rPr>
                <w:rFonts w:asciiTheme="majorBidi" w:hAnsiTheme="majorBidi" w:cstheme="majorBidi"/>
                <w:sz w:val="24"/>
                <w:szCs w:val="24"/>
              </w:rPr>
              <w:t>00,00 eur</w:t>
            </w:r>
          </w:p>
        </w:tc>
      </w:tr>
      <w:tr w:rsidR="00DC79D3" w:rsidRPr="00DC79D3" w14:paraId="7BC30DD3" w14:textId="77777777" w:rsidTr="008A341E">
        <w:trPr>
          <w:trHeight w:val="644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C6F72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w w:val="95"/>
                <w:sz w:val="24"/>
                <w:szCs w:val="24"/>
              </w:rPr>
              <w:t>SVEUKUPNO: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1A8B" w14:textId="6ED12923" w:rsidR="00DC79D3" w:rsidRPr="00DC79D3" w:rsidRDefault="00367360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570.400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</w:tbl>
    <w:p w14:paraId="32838B11" w14:textId="65EBB7E4" w:rsidR="00DC79D3" w:rsidRPr="00DC79D3" w:rsidRDefault="00DC79D3" w:rsidP="00367360">
      <w:pPr>
        <w:pStyle w:val="Tijeloteksta"/>
        <w:ind w:right="82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7B7AECCE" w14:textId="77777777" w:rsidR="00DC79D3" w:rsidRPr="00DC79D3" w:rsidRDefault="00DC79D3" w:rsidP="00DC79D3">
      <w:pPr>
        <w:pStyle w:val="Tijeloteksta"/>
        <w:ind w:left="507" w:right="822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Članak 3.</w:t>
      </w:r>
    </w:p>
    <w:p w14:paraId="35DB8EAD" w14:textId="77777777" w:rsidR="00DC79D3" w:rsidRPr="00DC79D3" w:rsidRDefault="00DC79D3" w:rsidP="00DC79D3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2FD55CB" w14:textId="77777777" w:rsidR="00DC79D3" w:rsidRPr="00DC79D3" w:rsidRDefault="00DC79D3" w:rsidP="00DC79D3">
      <w:pPr>
        <w:pStyle w:val="Tijeloteksta"/>
        <w:spacing w:line="252" w:lineRule="auto"/>
        <w:ind w:left="236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U skladu sa sadržajem programa u članku 2. troškovi programa građenja komunalne infrastrukture u 2022. godini raspoređuju se na sljedeće izvore financiranja:</w:t>
      </w:r>
    </w:p>
    <w:p w14:paraId="0BD12983" w14:textId="77777777" w:rsidR="00DC79D3" w:rsidRPr="00DC79D3" w:rsidRDefault="00DC79D3" w:rsidP="00DC79D3">
      <w:pPr>
        <w:pStyle w:val="Tijeloteksta"/>
        <w:spacing w:line="252" w:lineRule="auto"/>
        <w:ind w:left="236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C79D3" w:rsidRPr="00DC79D3" w14:paraId="4DAA6470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2351E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Prihodi od komunalnog doprinosa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CB863" w14:textId="558007A7" w:rsidR="00DC79D3" w:rsidRPr="00DC79D3" w:rsidRDefault="00367360" w:rsidP="00DC79D3">
            <w:pPr>
              <w:pStyle w:val="TableParagraph"/>
              <w:spacing w:line="240" w:lineRule="auto"/>
              <w:ind w:right="8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16B0F2EC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BF88D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Prihodi od šumskog doprinosa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B0739" w14:textId="7330DF8C" w:rsidR="00DC79D3" w:rsidRPr="00DC79D3" w:rsidRDefault="00367360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190.900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17956276" w14:textId="77777777" w:rsidTr="008A341E">
        <w:trPr>
          <w:trHeight w:val="327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3F9B7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Prihodi od naknade za zadržavanje zgrada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F9AE1" w14:textId="4D807814" w:rsidR="00DC79D3" w:rsidRPr="00DC79D3" w:rsidRDefault="00367360" w:rsidP="00DC79D3">
            <w:pPr>
              <w:pStyle w:val="TableParagraph"/>
              <w:spacing w:line="240" w:lineRule="auto"/>
              <w:ind w:right="8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00,00 eur</w:t>
            </w:r>
          </w:p>
        </w:tc>
      </w:tr>
      <w:tr w:rsidR="00DC79D3" w:rsidRPr="00DC79D3" w14:paraId="4C1DF3DE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F0F99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Prihodi od kapitalnih pomoći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64C67" w14:textId="586E0A47" w:rsidR="00DC79D3" w:rsidRPr="00DC79D3" w:rsidRDefault="00367360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84.500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3E655D6E" w14:textId="77777777" w:rsidTr="008A341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16D6E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sz w:val="24"/>
                <w:szCs w:val="24"/>
              </w:rPr>
              <w:t>Opći prihodi i primici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FF061" w14:textId="1E595DEF" w:rsidR="00DC79D3" w:rsidRPr="00DC79D3" w:rsidRDefault="00367360" w:rsidP="00DC79D3">
            <w:pPr>
              <w:pStyle w:val="TableParagraph"/>
              <w:spacing w:line="240" w:lineRule="auto"/>
              <w:ind w:right="8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294.750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  <w:tr w:rsidR="00DC79D3" w:rsidRPr="00DC79D3" w14:paraId="5AD43606" w14:textId="77777777" w:rsidTr="008A341E">
        <w:trPr>
          <w:trHeight w:val="482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E1489" w14:textId="77777777" w:rsidR="00DC79D3" w:rsidRPr="00DC79D3" w:rsidRDefault="00DC79D3" w:rsidP="00DC79D3">
            <w:pPr>
              <w:pStyle w:val="TableParagraph"/>
              <w:spacing w:line="240" w:lineRule="auto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DC79D3">
              <w:rPr>
                <w:rFonts w:asciiTheme="majorBidi" w:hAnsiTheme="majorBidi" w:cstheme="majorBidi"/>
                <w:w w:val="95"/>
                <w:sz w:val="24"/>
                <w:szCs w:val="24"/>
              </w:rPr>
              <w:lastRenderedPageBreak/>
              <w:t>SVEUKUPNO: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6AD55" w14:textId="2603AC17" w:rsidR="00DC79D3" w:rsidRPr="00DC79D3" w:rsidRDefault="00367360" w:rsidP="00DC79D3">
            <w:pPr>
              <w:pStyle w:val="TableParagraph"/>
              <w:spacing w:line="240" w:lineRule="auto"/>
              <w:ind w:right="8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570.400</w:t>
            </w:r>
            <w:r w:rsidR="00DC79D3" w:rsidRPr="00DC79D3">
              <w:rPr>
                <w:rFonts w:asciiTheme="majorBidi" w:hAnsiTheme="majorBidi" w:cstheme="majorBidi"/>
                <w:sz w:val="24"/>
                <w:szCs w:val="24"/>
              </w:rPr>
              <w:t>,00 eur</w:t>
            </w:r>
          </w:p>
        </w:tc>
      </w:tr>
    </w:tbl>
    <w:p w14:paraId="6AB100B5" w14:textId="3D969B47" w:rsidR="00DC79D3" w:rsidRPr="00DC79D3" w:rsidRDefault="00DC79D3" w:rsidP="00DC79D3">
      <w:pPr>
        <w:pStyle w:val="Tijeloteksta"/>
        <w:spacing w:line="252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237516D1" w14:textId="77777777" w:rsidR="00DC79D3" w:rsidRPr="00DC79D3" w:rsidRDefault="00DC79D3" w:rsidP="00DC79D3">
      <w:pPr>
        <w:pStyle w:val="Tijeloteksta"/>
        <w:spacing w:line="252" w:lineRule="auto"/>
        <w:ind w:left="236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Članak 4.</w:t>
      </w:r>
    </w:p>
    <w:p w14:paraId="5DF91B74" w14:textId="77777777" w:rsidR="00DC79D3" w:rsidRPr="00DC79D3" w:rsidRDefault="00DC79D3" w:rsidP="00DC79D3">
      <w:pPr>
        <w:pStyle w:val="Tijeloteksta"/>
        <w:spacing w:line="252" w:lineRule="auto"/>
        <w:ind w:left="236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389F0E94" w14:textId="77777777" w:rsidR="00DC79D3" w:rsidRPr="00DC79D3" w:rsidRDefault="00DC79D3" w:rsidP="00DC79D3">
      <w:pPr>
        <w:pStyle w:val="Tijeloteksta"/>
        <w:spacing w:line="252" w:lineRule="auto"/>
        <w:ind w:left="235" w:right="54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Svi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radovi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na </w:t>
      </w:r>
      <w:r w:rsidRPr="00DC79D3">
        <w:rPr>
          <w:rFonts w:asciiTheme="majorBidi" w:hAnsiTheme="majorBidi" w:cstheme="majorBidi"/>
          <w:b w:val="0"/>
          <w:bCs w:val="0"/>
          <w:spacing w:val="-4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objektima 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 </w:t>
      </w:r>
      <w:r w:rsidRPr="00DC79D3">
        <w:rPr>
          <w:rFonts w:asciiTheme="majorBidi" w:hAnsiTheme="majorBidi" w:cstheme="majorBidi"/>
          <w:b w:val="0"/>
          <w:bCs w:val="0"/>
          <w:spacing w:val="-43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uređajima</w:t>
      </w:r>
      <w:r w:rsidRPr="00DC79D3">
        <w:rPr>
          <w:rFonts w:asciiTheme="majorBidi" w:hAnsiTheme="majorBidi" w:cstheme="majorBidi"/>
          <w:b w:val="0"/>
          <w:bCs w:val="0"/>
          <w:spacing w:val="-41"/>
          <w:sz w:val="24"/>
          <w:szCs w:val="24"/>
        </w:rPr>
        <w:t xml:space="preserve"> 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komunalne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infrastrukture 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izvodit </w:t>
      </w:r>
      <w:r w:rsidRPr="00DC79D3">
        <w:rPr>
          <w:rFonts w:asciiTheme="majorBidi" w:hAnsiTheme="majorBidi" w:cstheme="majorBidi"/>
          <w:b w:val="0"/>
          <w:bCs w:val="0"/>
          <w:spacing w:val="-4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će </w:t>
      </w:r>
      <w:r w:rsidRPr="00DC79D3">
        <w:rPr>
          <w:rFonts w:asciiTheme="majorBidi" w:hAnsiTheme="majorBidi" w:cstheme="majorBidi"/>
          <w:b w:val="0"/>
          <w:bCs w:val="0"/>
          <w:spacing w:val="-41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se 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prema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prioritetu koji utvrdi općinski </w:t>
      </w:r>
      <w:r w:rsidRPr="00DC79D3">
        <w:rPr>
          <w:rFonts w:asciiTheme="majorBidi" w:hAnsiTheme="majorBidi" w:cstheme="majorBidi"/>
          <w:b w:val="0"/>
          <w:bCs w:val="0"/>
          <w:spacing w:val="-42"/>
          <w:sz w:val="24"/>
          <w:szCs w:val="24"/>
        </w:rPr>
        <w:t xml:space="preserve"> </w:t>
      </w: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načelnik.</w:t>
      </w:r>
    </w:p>
    <w:p w14:paraId="7B4855B2" w14:textId="77777777" w:rsidR="00DC79D3" w:rsidRPr="00DC79D3" w:rsidRDefault="00DC79D3" w:rsidP="00DC79D3">
      <w:pPr>
        <w:pStyle w:val="Tijeloteksta"/>
        <w:spacing w:line="252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210C943D" w14:textId="77777777" w:rsidR="00DC79D3" w:rsidRPr="00DC79D3" w:rsidRDefault="00DC79D3" w:rsidP="00DC79D3">
      <w:pPr>
        <w:pStyle w:val="Tijeloteksta"/>
        <w:spacing w:line="252" w:lineRule="auto"/>
        <w:ind w:left="236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                                       Članak 5.</w:t>
      </w:r>
    </w:p>
    <w:p w14:paraId="7A9FA453" w14:textId="77777777" w:rsidR="00DC79D3" w:rsidRPr="00DC79D3" w:rsidRDefault="00DC79D3" w:rsidP="00DC79D3">
      <w:pPr>
        <w:pStyle w:val="Tijeloteksta"/>
        <w:spacing w:line="252" w:lineRule="auto"/>
        <w:ind w:left="236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96FFEE2" w14:textId="00B53229" w:rsidR="00DC79D3" w:rsidRPr="00DC79D3" w:rsidRDefault="00DC79D3" w:rsidP="00DC79D3">
      <w:pPr>
        <w:pStyle w:val="Tijeloteksta"/>
        <w:spacing w:line="252" w:lineRule="auto"/>
        <w:ind w:left="236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C79D3">
        <w:rPr>
          <w:rFonts w:asciiTheme="majorBidi" w:hAnsiTheme="majorBidi" w:cstheme="majorBidi"/>
          <w:b w:val="0"/>
          <w:bCs w:val="0"/>
          <w:sz w:val="24"/>
          <w:szCs w:val="24"/>
        </w:rPr>
        <w:t>Ovaj Program objavit će se u Službenom glasniku Općine Čaglin.</w:t>
      </w:r>
    </w:p>
    <w:p w14:paraId="70888BDD" w14:textId="74615C02" w:rsidR="00223339" w:rsidRPr="00DC79D3" w:rsidRDefault="00711505" w:rsidP="00DC79D3">
      <w:pPr>
        <w:pStyle w:val="Zaglavlje"/>
        <w:jc w:val="both"/>
        <w:rPr>
          <w:rFonts w:asciiTheme="majorBidi" w:hAnsiTheme="majorBidi" w:cstheme="majorBidi"/>
        </w:rPr>
      </w:pPr>
      <w:r w:rsidRPr="00DC79D3">
        <w:rPr>
          <w:rFonts w:asciiTheme="majorBidi" w:hAnsiTheme="majorBidi" w:cstheme="majorBidi"/>
        </w:rPr>
        <w:t xml:space="preserve">                </w:t>
      </w:r>
      <w:r w:rsidR="00320312" w:rsidRPr="00DC79D3">
        <w:rPr>
          <w:rFonts w:asciiTheme="majorBidi" w:hAnsiTheme="majorBidi" w:cstheme="majorBidi"/>
        </w:rPr>
        <w:t xml:space="preserve">       </w:t>
      </w:r>
      <w:r w:rsidRPr="00DC79D3">
        <w:rPr>
          <w:rFonts w:asciiTheme="majorBidi" w:hAnsiTheme="majorBidi" w:cstheme="majorBidi"/>
        </w:rPr>
        <w:t xml:space="preserve">  </w:t>
      </w:r>
      <w:bookmarkStart w:id="3" w:name="_Hlk127868169"/>
      <w:bookmarkEnd w:id="3"/>
    </w:p>
    <w:p w14:paraId="46D29E6D" w14:textId="589FDDCE" w:rsidR="00223339" w:rsidRPr="00DC79D3" w:rsidRDefault="00320312" w:rsidP="00DC79D3">
      <w:pPr>
        <w:pStyle w:val="Zaglavlje"/>
        <w:jc w:val="both"/>
        <w:rPr>
          <w:rFonts w:asciiTheme="majorBidi" w:hAnsiTheme="majorBidi" w:cstheme="majorBidi"/>
        </w:rPr>
      </w:pPr>
      <w:r w:rsidRPr="00DC79D3">
        <w:rPr>
          <w:rFonts w:asciiTheme="majorBidi" w:hAnsiTheme="majorBidi" w:cstheme="majorBidi"/>
        </w:rPr>
        <w:t xml:space="preserve">       </w:t>
      </w:r>
    </w:p>
    <w:p w14:paraId="19148BEC" w14:textId="01704212" w:rsidR="00711505" w:rsidRPr="00DC79D3" w:rsidRDefault="00711505" w:rsidP="00DC79D3">
      <w:pPr>
        <w:pStyle w:val="Zaglavlje"/>
        <w:rPr>
          <w:rFonts w:asciiTheme="majorBidi" w:hAnsiTheme="majorBidi" w:cstheme="majorBidi"/>
        </w:rPr>
      </w:pPr>
    </w:p>
    <w:p w14:paraId="3437ED54" w14:textId="080D14A3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  <w:r w:rsidRPr="00DC79D3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5EA7D068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DC79D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5EA7D068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DC79D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</w:p>
    <w:p w14:paraId="2BBEDF86" w14:textId="3A97DDBA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</w:p>
    <w:p w14:paraId="792883D2" w14:textId="64433DF8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</w:p>
    <w:p w14:paraId="57F1054C" w14:textId="2117C491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</w:p>
    <w:p w14:paraId="4448ABC9" w14:textId="794B88FB" w:rsidR="007120D7" w:rsidRPr="00DC79D3" w:rsidRDefault="007120D7" w:rsidP="00DC79D3">
      <w:pPr>
        <w:pStyle w:val="Zaglavlje"/>
        <w:rPr>
          <w:rFonts w:asciiTheme="majorBidi" w:hAnsiTheme="majorBidi" w:cstheme="majorBidi"/>
        </w:rPr>
      </w:pPr>
      <w:r w:rsidRPr="00DC79D3">
        <w:rPr>
          <w:rFonts w:asciiTheme="majorBidi" w:hAnsiTheme="majorBidi" w:cstheme="majorBidi"/>
        </w:rPr>
        <w:t xml:space="preserve">              </w:t>
      </w:r>
    </w:p>
    <w:p w14:paraId="45AB5221" w14:textId="19CE4129" w:rsidR="007120D7" w:rsidRPr="00DC79D3" w:rsidRDefault="00643778" w:rsidP="00DC79D3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4" w:name="_Hlk129684039"/>
                          <w:p w14:paraId="78E25BE3" w14:textId="0BB1F5F1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0F0282">
                              <w:rPr>
                                <w:sz w:val="18"/>
                                <w:szCs w:val="20"/>
                              </w:rPr>
                              <w:instrText>"2177-3|363-01/23-01/10|2"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5" w:name="_Hlk129684039"/>
                    <w:p w14:paraId="78E25BE3" w14:textId="0BB1F5F1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0F0282">
                        <w:rPr>
                          <w:sz w:val="18"/>
                          <w:szCs w:val="20"/>
                        </w:rPr>
                        <w:instrText>"2177-3|363-01/23-01/10|2"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C79D3">
        <w:rPr>
          <w:rFonts w:asciiTheme="majorBidi" w:hAnsiTheme="majorBidi" w:cstheme="majorBidi"/>
          <w:sz w:val="24"/>
          <w:szCs w:val="24"/>
        </w:rPr>
        <w:t xml:space="preserve">KLASA: </w:t>
      </w:r>
      <w:r w:rsidR="000F0282" w:rsidRPr="00DC79D3">
        <w:rPr>
          <w:rFonts w:asciiTheme="majorBidi" w:hAnsiTheme="majorBidi" w:cstheme="majorBidi"/>
          <w:sz w:val="24"/>
          <w:szCs w:val="24"/>
        </w:rPr>
        <w:t>363-01/23-01/10</w:t>
      </w:r>
    </w:p>
    <w:p w14:paraId="587A9574" w14:textId="48166AF9" w:rsidR="007120D7" w:rsidRPr="00DC79D3" w:rsidRDefault="007120D7" w:rsidP="00DC79D3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 xml:space="preserve">URBROJ: </w:t>
      </w:r>
      <w:r w:rsidR="000F0282" w:rsidRPr="00DC79D3">
        <w:rPr>
          <w:rFonts w:asciiTheme="majorBidi" w:hAnsiTheme="majorBidi" w:cstheme="majorBidi"/>
          <w:sz w:val="24"/>
          <w:szCs w:val="24"/>
        </w:rPr>
        <w:t>2177-3-1-23-2</w:t>
      </w:r>
    </w:p>
    <w:p w14:paraId="71C45855" w14:textId="49FCEF7C" w:rsidR="007120D7" w:rsidRPr="00DC79D3" w:rsidRDefault="007120D7" w:rsidP="00DC79D3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 xml:space="preserve">Čaglin, </w:t>
      </w:r>
      <w:r w:rsidR="00202C5A">
        <w:rPr>
          <w:rFonts w:asciiTheme="majorBidi" w:hAnsiTheme="majorBidi" w:cstheme="majorBidi"/>
          <w:sz w:val="24"/>
          <w:szCs w:val="24"/>
        </w:rPr>
        <w:t>15.prosinca</w:t>
      </w:r>
      <w:r w:rsidR="000F0282" w:rsidRPr="00DC79D3">
        <w:rPr>
          <w:rFonts w:asciiTheme="majorBidi" w:hAnsiTheme="majorBidi" w:cstheme="majorBidi"/>
          <w:sz w:val="24"/>
          <w:szCs w:val="24"/>
        </w:rPr>
        <w:t xml:space="preserve"> 2023. godine</w:t>
      </w:r>
      <w:r w:rsidRPr="00DC79D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Pr="00DC79D3" w:rsidRDefault="00814345" w:rsidP="00DC79D3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sz w:val="24"/>
          <w:szCs w:val="24"/>
        </w:rPr>
        <w:tab/>
      </w:r>
      <w:r w:rsidR="00BD44B6" w:rsidRPr="00DC79D3">
        <w:rPr>
          <w:rFonts w:asciiTheme="majorBidi" w:hAnsiTheme="majorBidi" w:cstheme="majorBidi"/>
          <w:sz w:val="24"/>
          <w:szCs w:val="24"/>
        </w:rPr>
        <w:tab/>
      </w:r>
    </w:p>
    <w:p w14:paraId="292F0886" w14:textId="2FD01722" w:rsidR="0075725E" w:rsidRPr="00DC79D3" w:rsidRDefault="0075725E" w:rsidP="00DC79D3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0216B562" w14:textId="3CB88B1B" w:rsidR="0075725E" w:rsidRPr="00DC79D3" w:rsidRDefault="0075725E" w:rsidP="00DC79D3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sz w:val="24"/>
          <w:szCs w:val="24"/>
        </w:rPr>
      </w:pPr>
    </w:p>
    <w:p w14:paraId="475EA6FD" w14:textId="574D7891" w:rsidR="003C1800" w:rsidRPr="00DC79D3" w:rsidRDefault="003C1800" w:rsidP="00DC79D3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sz w:val="24"/>
          <w:szCs w:val="24"/>
        </w:rPr>
      </w:pPr>
    </w:p>
    <w:p w14:paraId="47627BD4" w14:textId="0B521522" w:rsidR="003C1800" w:rsidRPr="00DC79D3" w:rsidRDefault="00C45F67" w:rsidP="00DC79D3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sz w:val="24"/>
          <w:szCs w:val="24"/>
        </w:rPr>
      </w:pPr>
      <w:r w:rsidRPr="00DC79D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3676F59D">
                <wp:simplePos x="0" y="0"/>
                <wp:positionH relativeFrom="column">
                  <wp:posOffset>4260850</wp:posOffset>
                </wp:positionH>
                <wp:positionV relativeFrom="paragraph">
                  <wp:posOffset>66040</wp:posOffset>
                </wp:positionV>
                <wp:extent cx="21437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0C021D93" w:rsidR="00FC2993" w:rsidRPr="00D00D6C" w:rsidRDefault="00DC79D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23C0D4C7" w:rsidR="00FC2993" w:rsidRPr="00D00D6C" w:rsidRDefault="00DC79D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5.5pt;margin-top:5.2pt;width:168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" stroked="f">
                <v:textbox inset="1mm,1mm,1mm,1mm">
                  <w:txbxContent>
                    <w:p w14:paraId="1F9F95E2" w14:textId="0C021D93" w:rsidR="00FC2993" w:rsidRPr="00D00D6C" w:rsidRDefault="00DC79D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23C0D4C7" w:rsidR="00FC2993" w:rsidRPr="00D00D6C" w:rsidRDefault="00DC79D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Pr="00DC79D3" w:rsidRDefault="0075725E" w:rsidP="00DC79D3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50A344EE" w14:textId="40BF70AB" w:rsidR="0075725E" w:rsidRPr="00DC79D3" w:rsidRDefault="0075725E" w:rsidP="00DC79D3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sectPr w:rsidR="0075725E" w:rsidRPr="00DC79D3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7111" w14:textId="77777777" w:rsidR="00AF4D70" w:rsidRDefault="00AF4D70" w:rsidP="00470DF0">
      <w:pPr>
        <w:spacing w:after="0" w:line="240" w:lineRule="auto"/>
      </w:pPr>
      <w:r>
        <w:separator/>
      </w:r>
    </w:p>
  </w:endnote>
  <w:endnote w:type="continuationSeparator" w:id="0">
    <w:p w14:paraId="328C153B" w14:textId="77777777" w:rsidR="00AF4D70" w:rsidRDefault="00AF4D70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785A" w14:textId="77777777" w:rsidR="00AF4D70" w:rsidRDefault="00AF4D70" w:rsidP="00470DF0">
      <w:pPr>
        <w:spacing w:after="0" w:line="240" w:lineRule="auto"/>
      </w:pPr>
      <w:r>
        <w:separator/>
      </w:r>
    </w:p>
  </w:footnote>
  <w:footnote w:type="continuationSeparator" w:id="0">
    <w:p w14:paraId="38A17535" w14:textId="77777777" w:rsidR="00AF4D70" w:rsidRDefault="00AF4D70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lang w:val="bs" w:eastAsia="en-US" w:bidi="ar-SA"/>
      </w:rPr>
    </w:lvl>
  </w:abstractNum>
  <w:abstractNum w:abstractNumId="6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7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8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2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3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4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5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4"/>
  </w:num>
  <w:num w:numId="14" w16cid:durableId="760642988">
    <w:abstractNumId w:val="11"/>
  </w:num>
  <w:num w:numId="15" w16cid:durableId="1139035924">
    <w:abstractNumId w:val="4"/>
  </w:num>
  <w:num w:numId="16" w16cid:durableId="37921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0F0282"/>
    <w:rsid w:val="0011477D"/>
    <w:rsid w:val="00202C5A"/>
    <w:rsid w:val="00223339"/>
    <w:rsid w:val="00240995"/>
    <w:rsid w:val="00277B13"/>
    <w:rsid w:val="00320312"/>
    <w:rsid w:val="00334A31"/>
    <w:rsid w:val="00367360"/>
    <w:rsid w:val="003C1800"/>
    <w:rsid w:val="00407041"/>
    <w:rsid w:val="0042168F"/>
    <w:rsid w:val="00470DF0"/>
    <w:rsid w:val="004C51D3"/>
    <w:rsid w:val="00532FC4"/>
    <w:rsid w:val="005E1AB1"/>
    <w:rsid w:val="005E387E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9457B1"/>
    <w:rsid w:val="00AF4D70"/>
    <w:rsid w:val="00B85191"/>
    <w:rsid w:val="00BD44B6"/>
    <w:rsid w:val="00C45F67"/>
    <w:rsid w:val="00D00D6C"/>
    <w:rsid w:val="00D80220"/>
    <w:rsid w:val="00DC79D3"/>
    <w:rsid w:val="00E37402"/>
    <w:rsid w:val="00E42FA0"/>
    <w:rsid w:val="00FC2993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DC79D3"/>
    <w:pPr>
      <w:widowControl w:val="0"/>
      <w:autoSpaceDE w:val="0"/>
      <w:autoSpaceDN w:val="0"/>
      <w:spacing w:after="0" w:line="240" w:lineRule="auto"/>
      <w:ind w:left="508" w:right="822"/>
      <w:jc w:val="center"/>
      <w:outlineLvl w:val="0"/>
    </w:pPr>
    <w:rPr>
      <w:rFonts w:ascii="Arial" w:eastAsia="Arial" w:hAnsi="Arial" w:cs="Arial"/>
      <w:b/>
      <w:bCs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uiPriority w:val="1"/>
    <w:rsid w:val="00DC79D3"/>
    <w:rPr>
      <w:rFonts w:ascii="Arial" w:eastAsia="Arial" w:hAnsi="Arial" w:cs="Arial"/>
      <w:b/>
      <w:bCs/>
      <w:sz w:val="24"/>
      <w:szCs w:val="24"/>
      <w:lang w:val="bs"/>
    </w:rPr>
  </w:style>
  <w:style w:type="paragraph" w:customStyle="1" w:styleId="TableParagraph">
    <w:name w:val="Table Paragraph"/>
    <w:basedOn w:val="Normal"/>
    <w:uiPriority w:val="1"/>
    <w:qFormat/>
    <w:rsid w:val="00DC79D3"/>
    <w:pPr>
      <w:widowControl w:val="0"/>
      <w:autoSpaceDE w:val="0"/>
      <w:autoSpaceDN w:val="0"/>
      <w:spacing w:after="0" w:line="248" w:lineRule="exact"/>
    </w:pPr>
    <w:rPr>
      <w:rFonts w:ascii="Arial" w:eastAsia="Arial" w:hAnsi="Arial" w:cs="Arial"/>
      <w:lang w:val="bs"/>
    </w:rPr>
  </w:style>
  <w:style w:type="table" w:customStyle="1" w:styleId="TableNormal">
    <w:name w:val="Table Normal"/>
    <w:uiPriority w:val="2"/>
    <w:semiHidden/>
    <w:qFormat/>
    <w:rsid w:val="00DC79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5</cp:revision>
  <dcterms:created xsi:type="dcterms:W3CDTF">2023-12-12T12:21:00Z</dcterms:created>
  <dcterms:modified xsi:type="dcterms:W3CDTF">2024-01-02T12:08:00Z</dcterms:modified>
</cp:coreProperties>
</file>